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89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1016467" cy="441194"/>
            <wp:effectExtent b="0" l="0" r="0" t="0"/>
            <wp:docPr id="114303360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467" cy="44119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left="0" w:firstLine="0"/>
        <w:rPr>
          <w:sz w:val="24"/>
          <w:szCs w:val="24"/>
        </w:rPr>
      </w:pPr>
      <w:r w:rsidDel="00000000" w:rsidR="00000000" w:rsidRPr="00000000">
        <w:rPr>
          <w:rFonts w:ascii="Times New Roman" w:cs="Times New Roman" w:eastAsia="Times New Roman" w:hAnsi="Times New Roman"/>
          <w:sz w:val="24"/>
          <w:szCs w:val="24"/>
          <w:rtl w:val="0"/>
        </w:rPr>
        <w:t xml:space="preserve">                                     Contract de prestări servicii  medicale</w:t>
      </w:r>
      <w:r w:rsidDel="00000000" w:rsidR="00000000" w:rsidRPr="00000000">
        <w:rPr>
          <w:rtl w:val="0"/>
        </w:rPr>
      </w:r>
    </w:p>
    <w:sdt>
      <w:sdtPr>
        <w:id w:val="-1860500357"/>
        <w:tag w:val="goog_rdk_0"/>
      </w:sdtPr>
      <w:sdtContent>
        <w:p w:rsidR="00000000" w:rsidDel="00000000" w:rsidP="00000000" w:rsidRDefault="00000000" w:rsidRPr="00000000" w14:paraId="00000003">
          <w:pPr>
            <w:pStyle w:val="Title"/>
            <w:ind w:left="0" w:firstLine="0"/>
            <w:rPr/>
          </w:pPr>
          <w:r w:rsidDel="00000000" w:rsidR="00000000" w:rsidRPr="00000000">
            <w:rPr>
              <w:rFonts w:ascii="Times New Roman" w:cs="Times New Roman" w:eastAsia="Times New Roman" w:hAnsi="Times New Roman"/>
              <w:sz w:val="24"/>
              <w:szCs w:val="24"/>
              <w:rtl w:val="0"/>
            </w:rPr>
            <w:t xml:space="preserve">                                            Nr.  / Data</w:t>
          </w:r>
          <w:r w:rsidDel="00000000" w:rsidR="00000000" w:rsidRPr="00000000">
            <w:rPr>
              <w:rtl w:val="0"/>
            </w:rPr>
          </w:r>
        </w:p>
      </w:sdtContent>
    </w:sdt>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47"/>
        </w:tabs>
        <w:spacing w:after="0" w:before="9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47"/>
        </w:tabs>
        <w:spacing w:after="0" w:before="92" w:line="240" w:lineRule="auto"/>
        <w:ind w:left="193"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Părți contractante: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Între: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25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Societatea KILOSTOP JUNIOR SRL, cu sediul in Bucureşti, Calea Victoriei nr. 155, Tronson 8, bl. D1, sc. 9, et. 6, sector 1, inregistrata la Reg. Com. sub nr. J40/13952/2019, avand CUI: 41778116, IBAN: RO42UGBI0000872006114RON, deschis la Garanti Bank, telefon: 0740998259/ 0740998258, e-mail: </w:t>
      </w:r>
      <w:hyperlink r:id="rId8">
        <w:r w:rsidDel="00000000" w:rsidR="00000000" w:rsidRPr="00000000">
          <w:rPr>
            <w:rFonts w:ascii="Times New Roman" w:cs="Times New Roman" w:eastAsia="Times New Roman" w:hAnsi="Times New Roman"/>
            <w:b w:val="0"/>
            <w:bCs w:val="0"/>
            <w:i w:val="0"/>
            <w:iCs w:val="0"/>
            <w:smallCaps w:val="0"/>
            <w:strike w:val="0"/>
            <w:color w:val="000080"/>
            <w:sz w:val="22"/>
            <w:szCs w:val="22"/>
            <w:u w:val="single"/>
            <w:shd w:fill="auto" w:val="clear"/>
            <w:vertAlign w:val="baseline"/>
            <w:rtl w:val="0"/>
          </w:rPr>
          <w:t xml:space="preserve">office@kilostopjunior.ro</w:t>
        </w:r>
      </w:hyperlink>
      <w:hyperlink r:id="rId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reprezentata prin Dr. Amalia-Ioana Arhire, in calitate de Administrator, denumita in continuare Prestator,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și</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258"/>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cu domiciliul în localitatea...................................................................................................................................judet/sector........................................................................, str...................................................., nr............................., bl.................., sc...................., et..................., ap....................., posesor a C.I. seria.................., nr........................,in calitate de reprezentant legal al minorului............................................................................, denumit în continuare pacient, denumite în cele ce urmează, în mod individual Partea și în mod colectiv Părțile.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I</w:t>
        <w:tab/>
        <w:t xml:space="preserve">OBIECTUL CONTRACTULUI</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Obiectul contractului îl constituie prestarea de servicii medicale sub formă de consultatie individuala, abonament sau program de către Prestator in beneficiul Pacientului, conform Anexei nr. 1 a prezentului contract.</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Serviciile care fac obiectul prezentului contract se vor desfasura la sediul Prestatorului din Bucuresti, Calea Victoriei nr. 155 (tronson 8, bl. D1, sc. 9, et. 6, sector 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II</w:t>
        <w:tab/>
        <w:t xml:space="preserve">DURATA CONTRACTLUI</w:t>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Prezentul contract intră în vigoare la data semnării lui și este valabil pe intreaga perioada de prestare a serviciilor contractate (consultatie individuala, abonament sau program), conform Anexei nr. 2 a prezentului contract.</w:t>
      </w:r>
    </w:p>
    <w:p w:rsidR="00000000" w:rsidDel="00000000" w:rsidP="00000000" w:rsidRDefault="00000000" w:rsidRPr="00000000" w14:paraId="0000001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360" w:lineRule="auto"/>
        <w:ind w:left="1542" w:right="0" w:hanging="360"/>
        <w:jc w:val="both"/>
        <w:rPr>
          <w:u w:val="none"/>
        </w:rPr>
      </w:pPr>
      <w:r w:rsidDel="00000000" w:rsidR="00000000" w:rsidRPr="00000000">
        <w:rPr>
          <w:b w:val="1"/>
          <w:bCs w:val="1"/>
          <w:rtl w:val="0"/>
        </w:rPr>
        <w:t xml:space="preserve">valabilitatea fiecarui abonament e de maximum 6 saptamani pentru INTENSIV, 8 saptamani pentru MODERAT si 6 luni pentru MENTINERE - de la data inceperii abonamentulu</w:t>
      </w:r>
      <w:r w:rsidDel="00000000" w:rsidR="00000000" w:rsidRPr="00000000">
        <w:rPr>
          <w:rtl w:val="0"/>
        </w:rPr>
        <w:t xml:space="preserve">i </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III</w:t>
        <w:tab/>
        <w:t xml:space="preserve">VALOAREA CONTRACTULUI</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Tariful unei consultații individuale efectuata de un Medic Specialist este de 4</w:t>
      </w:r>
      <w:r w:rsidDel="00000000" w:rsidR="00000000" w:rsidRPr="00000000">
        <w:rPr>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 RON iar pentru o consultație tip nutr</w:t>
      </w:r>
      <w:r w:rsidDel="00000000" w:rsidR="00000000" w:rsidRPr="00000000">
        <w:rPr>
          <w:rtl w:val="0"/>
        </w:rPr>
        <w:t xml:space="preserve">iție terapeutică de 520 RON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Tariful unei consultații individuale efectuata de un Medic Expert, cu experienta de peste 5 ani in nutritie, este de 6</w:t>
      </w:r>
      <w:r w:rsidDel="00000000" w:rsidR="00000000" w:rsidRPr="00000000">
        <w:rPr>
          <w:rtl w:val="0"/>
        </w:rPr>
        <w:t xml:space="preserve">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0 RON ia</w:t>
      </w:r>
      <w:r w:rsidDel="00000000" w:rsidR="00000000" w:rsidRPr="00000000">
        <w:rPr>
          <w:rtl w:val="0"/>
        </w:rPr>
        <w:t xml:space="preserve">r pentru o consultație tip nutriție terapeutică 700 RON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cazul in care Pacientul contracteaza un abonament/ program pus la dispozitie de Prestator, tarifele vor fi cele mentionate in Oferta KiloStop Junior valabila la data la care a fost efectuata plata serviciului ales.</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 parcursul derulării prezentului contract, Prestatorul are dreptul să actualizeze/modifice tarifele percepute pentru consultatiile individuale, abonamentele sau programele oferite numai în cazul în care Pacientul nu a achitat contravaloarea serviciilor contractate la termenul agreat contractual si cu obligația de a face in prealabil publice noile tarife și de a informa Pacientul de modificarile intervenite.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CAP. IV</w:t>
        <w:tab/>
        <w:t xml:space="preserve">INCETAREA CONTRACTULUI</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Prezentul contract inceteaza:</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sfarsitul perioadei pentru care a fost incheiat, respectiv la data prestarii ultimului serviciu medical ales, in cazul in care Pacientul nu si-a exprimat optiunea de a contracta un nou serviciu oferit de Prestator (caz in care se vor actualiza Anexa nr. 1 si Anexa nr. 2 a prezentului contract, iar Pacientul va achita tarifele aferente noilor servicii contractate).</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sectPr>
          <w:pgSz w:h="15840" w:w="12240" w:orient="portrait"/>
          <w:pgMar w:bottom="280" w:top="1140" w:left="940" w:right="1020" w:header="0" w:footer="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expirarea termenului de valabilitate a abonamentului/programului pentru care Pacientul a optat, in cazul in care Pacientul nu a respectat programarile stabilite de comun acord cu Prestatorul sau nu a depus toate diligentele pentru a stabili/reprograma toate consultatiile parte din abonamentul/programul ales. In aceasta situatie Prestatorul nu va fi obligat, sub nicio forma, sa restituie sumele incasate pentru serviciile care nu au mai fost prestate.</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 drept, fara a fi necesara punerea in intarziere a Pacientului, fara interventia instantelor judecatoresti si fara orice alta formalitate, vreo notificare prealabila, pe baza unei declaratii unilaterale a Prestatorului, in situatia in care Pacientul nu a achitat tarifele serviciilor pentru care a optat la termenele stabilite de parti prin prezentul contract.</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La momentul la care Pacientul beneficiaza de Garantia Returnarii Banilor, conform prevederilor anexei nr. 3 a prezentului contract.</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Incetarea din orice motiv a prezentului contract nu va avea niciun efect asupra obligațiilor deja scadente între Părți.</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V</w:t>
        <w:tab/>
        <w:t xml:space="preserve">FORTA MAJORA</w:t>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Forța majoră este reglementată şi definită în art. 1351 Cod Civil.</w:t>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Partea care invocă forța majoră are obligaţia de a notifica imediat celeilalte Părți, în mod complet, producerea acesteia și de a lua orice măsuri care îi stau la dispoziție în vederea limitării consecințelor.</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82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Forta majora constatata potrivit legii apara de raspundere pe cel care o invoca, cu obligatia de a aduce la cunostinta celeilalte parti cazul de forta majora in termen de 5 zile de la aparitia sa doveditoare, precum si de a anunta incetarea acestei cauze.</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VI SOLUTIONAREA LITIGIILOR</w:t>
      </w:r>
    </w:p>
    <w:p w:rsidR="00000000" w:rsidDel="00000000" w:rsidP="00000000" w:rsidRDefault="00000000" w:rsidRPr="00000000" w14:paraId="0000003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Orice diferend aparut in legatura cu interpretarea si/ sau executarea prezentului contract se va solutiona pe cale amiabila. In cazul in care Partile nu ajung la un acord pe cale amiabila, diferendul va fi solutionat de catre instanta de judecata competenta de la sediul Prestatorului.</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CAP. VII CLAUZE FINALE</w:t>
      </w:r>
    </w:p>
    <w:p w:rsidR="00000000" w:rsidDel="00000000" w:rsidP="00000000" w:rsidRDefault="00000000" w:rsidRPr="00000000" w14:paraId="0000003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Prezentul contract a fost încheiat în două exemplare câte unul pentru fiecare Parte.</w:t>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Urmatoarele Anexe sunt asumate de Parti la incheierea prezentului contract si fac parte integranta din acesta:</w:t>
      </w:r>
    </w:p>
    <w:p w:rsidR="00000000" w:rsidDel="00000000" w:rsidP="00000000" w:rsidRDefault="00000000" w:rsidRPr="00000000" w14:paraId="0000003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Anexa nr. 1 – Oferta KiloStop Junior</w:t>
      </w:r>
    </w:p>
    <w:p w:rsidR="00000000" w:rsidDel="00000000" w:rsidP="00000000" w:rsidRDefault="00000000" w:rsidRPr="00000000" w14:paraId="000000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Anexa nr. 2 – Programari</w:t>
      </w:r>
    </w:p>
    <w:p w:rsidR="00000000" w:rsidDel="00000000" w:rsidP="00000000" w:rsidRDefault="00000000" w:rsidRPr="00000000" w14:paraId="0000003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822"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Anexa nr. 3 – Obligatiile, responsabilitatile si drepturile partilor.</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tbl>
      <w:tblPr>
        <w:tblStyle w:val="Table1"/>
        <w:tblW w:w="8916.0" w:type="dxa"/>
        <w:jc w:val="left"/>
        <w:tblInd w:w="111.0" w:type="dxa"/>
        <w:tblLayout w:type="fixed"/>
        <w:tblLook w:val="0000"/>
      </w:tblPr>
      <w:tblGrid>
        <w:gridCol w:w="5577"/>
        <w:gridCol w:w="3339"/>
        <w:tblGridChange w:id="0">
          <w:tblGrid>
            <w:gridCol w:w="5577"/>
            <w:gridCol w:w="3339"/>
          </w:tblGrid>
        </w:tblGridChange>
      </w:tblGrid>
      <w:tr>
        <w:trPr>
          <w:cantSplit w:val="0"/>
          <w:trHeight w:val="288" w:hRule="atLeast"/>
          <w:tblHeader w:val="0"/>
        </w:trPr>
        <w:tc>
          <w:tcPr>
            <w:shd w:fill="auto"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PRESTATOR</w:t>
            </w:r>
          </w:p>
        </w:tc>
        <w:tc>
          <w:tcPr>
            <w:shd w:fill="auto"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PACIENT</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114" w:hRule="atLeast"/>
          <w:tblHeader w:val="0"/>
        </w:trPr>
        <w:tc>
          <w:tcPr>
            <w:shd w:fill="auto"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KILOSTOP JUNIOR SRL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Prin administrator</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Dr. Amalia-Ioana Arhire</w:t>
            </w:r>
          </w:p>
        </w:tc>
        <w:tc>
          <w:tcPr>
            <w:shd w:fill="auto"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6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sectPr>
      <w:type w:val="continuous"/>
      <w:pgSz w:h="15840" w:w="12240" w:orient="portrait"/>
      <w:pgMar w:bottom="280" w:top="1140" w:left="940" w:right="102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2" w:hanging="360"/>
      </w:pPr>
      <w:rPr/>
    </w:lvl>
    <w:lvl w:ilvl="1">
      <w:start w:val="1"/>
      <w:numFmt w:val="lowerLetter"/>
      <w:lvlText w:val="%2."/>
      <w:lvlJc w:val="left"/>
      <w:pPr>
        <w:ind w:left="1542" w:hanging="360"/>
      </w:pPr>
      <w:rPr/>
    </w:lvl>
    <w:lvl w:ilvl="2">
      <w:start w:val="1"/>
      <w:numFmt w:val="lowerRoman"/>
      <w:lvlText w:val="%3."/>
      <w:lvlJc w:val="right"/>
      <w:pPr>
        <w:ind w:left="2262" w:hanging="180"/>
      </w:pPr>
      <w:rPr/>
    </w:lvl>
    <w:lvl w:ilvl="3">
      <w:start w:val="1"/>
      <w:numFmt w:val="decimal"/>
      <w:lvlText w:val="%4."/>
      <w:lvlJc w:val="left"/>
      <w:pPr>
        <w:ind w:left="2982" w:hanging="360"/>
      </w:pPr>
      <w:rPr/>
    </w:lvl>
    <w:lvl w:ilvl="4">
      <w:start w:val="1"/>
      <w:numFmt w:val="lowerLetter"/>
      <w:lvlText w:val="%5."/>
      <w:lvlJc w:val="left"/>
      <w:pPr>
        <w:ind w:left="3702" w:hanging="360"/>
      </w:pPr>
      <w:rPr/>
    </w:lvl>
    <w:lvl w:ilvl="5">
      <w:start w:val="1"/>
      <w:numFmt w:val="lowerRoman"/>
      <w:lvlText w:val="%6."/>
      <w:lvlJc w:val="right"/>
      <w:pPr>
        <w:ind w:left="4422" w:hanging="180"/>
      </w:pPr>
      <w:rPr/>
    </w:lvl>
    <w:lvl w:ilvl="6">
      <w:start w:val="1"/>
      <w:numFmt w:val="decimal"/>
      <w:lvlText w:val="%7."/>
      <w:lvlJc w:val="left"/>
      <w:pPr>
        <w:ind w:left="5142" w:hanging="360"/>
      </w:pPr>
      <w:rPr/>
    </w:lvl>
    <w:lvl w:ilvl="7">
      <w:start w:val="1"/>
      <w:numFmt w:val="lowerLetter"/>
      <w:lvlText w:val="%8."/>
      <w:lvlJc w:val="left"/>
      <w:pPr>
        <w:ind w:left="5862" w:hanging="360"/>
      </w:pPr>
      <w:rPr/>
    </w:lvl>
    <w:lvl w:ilvl="8">
      <w:start w:val="1"/>
      <w:numFmt w:val="lowerRoman"/>
      <w:lvlText w:val="%9."/>
      <w:lvlJc w:val="right"/>
      <w:pPr>
        <w:ind w:left="6582" w:hanging="180"/>
      </w:pPr>
      <w:rPr/>
    </w:lvl>
  </w:abstractNum>
  <w:abstractNum w:abstractNumId="2">
    <w:lvl w:ilvl="0">
      <w:start w:val="1"/>
      <w:numFmt w:val="lowerLetter"/>
      <w:lvlText w:val="%1."/>
      <w:lvlJc w:val="left"/>
      <w:pPr>
        <w:ind w:left="822" w:hanging="360"/>
      </w:pPr>
      <w:rPr/>
    </w:lvl>
    <w:lvl w:ilvl="1">
      <w:start w:val="1"/>
      <w:numFmt w:val="lowerLetter"/>
      <w:lvlText w:val="%2."/>
      <w:lvlJc w:val="left"/>
      <w:pPr>
        <w:ind w:left="1542" w:hanging="360"/>
      </w:pPr>
      <w:rPr/>
    </w:lvl>
    <w:lvl w:ilvl="2">
      <w:start w:val="1"/>
      <w:numFmt w:val="lowerRoman"/>
      <w:lvlText w:val="%3."/>
      <w:lvlJc w:val="right"/>
      <w:pPr>
        <w:ind w:left="2262" w:hanging="180"/>
      </w:pPr>
      <w:rPr/>
    </w:lvl>
    <w:lvl w:ilvl="3">
      <w:start w:val="1"/>
      <w:numFmt w:val="decimal"/>
      <w:lvlText w:val="%4."/>
      <w:lvlJc w:val="left"/>
      <w:pPr>
        <w:ind w:left="2982" w:hanging="360"/>
      </w:pPr>
      <w:rPr/>
    </w:lvl>
    <w:lvl w:ilvl="4">
      <w:start w:val="1"/>
      <w:numFmt w:val="lowerLetter"/>
      <w:lvlText w:val="%5."/>
      <w:lvlJc w:val="left"/>
      <w:pPr>
        <w:ind w:left="3702" w:hanging="360"/>
      </w:pPr>
      <w:rPr/>
    </w:lvl>
    <w:lvl w:ilvl="5">
      <w:start w:val="1"/>
      <w:numFmt w:val="lowerRoman"/>
      <w:lvlText w:val="%6."/>
      <w:lvlJc w:val="right"/>
      <w:pPr>
        <w:ind w:left="4422" w:hanging="180"/>
      </w:pPr>
      <w:rPr/>
    </w:lvl>
    <w:lvl w:ilvl="6">
      <w:start w:val="1"/>
      <w:numFmt w:val="decimal"/>
      <w:lvlText w:val="%7."/>
      <w:lvlJc w:val="left"/>
      <w:pPr>
        <w:ind w:left="5142" w:hanging="360"/>
      </w:pPr>
      <w:rPr/>
    </w:lvl>
    <w:lvl w:ilvl="7">
      <w:start w:val="1"/>
      <w:numFmt w:val="lowerLetter"/>
      <w:lvlText w:val="%8."/>
      <w:lvlJc w:val="left"/>
      <w:pPr>
        <w:ind w:left="5862" w:hanging="360"/>
      </w:pPr>
      <w:rPr/>
    </w:lvl>
    <w:lvl w:ilvl="8">
      <w:start w:val="1"/>
      <w:numFmt w:val="lowerRoman"/>
      <w:lvlText w:val="%9."/>
      <w:lvlJc w:val="right"/>
      <w:pPr>
        <w:ind w:left="6582" w:hanging="180"/>
      </w:pPr>
      <w:rPr/>
    </w:lvl>
  </w:abstractNum>
  <w:abstractNum w:abstractNumId="3">
    <w:lvl w:ilvl="0">
      <w:start w:val="1"/>
      <w:numFmt w:val="lowerLetter"/>
      <w:lvlText w:val="%1."/>
      <w:lvlJc w:val="left"/>
      <w:pPr>
        <w:ind w:left="822" w:hanging="360"/>
      </w:pPr>
      <w:rPr/>
    </w:lvl>
    <w:lvl w:ilvl="1">
      <w:start w:val="1"/>
      <w:numFmt w:val="lowerLetter"/>
      <w:lvlText w:val="%2."/>
      <w:lvlJc w:val="left"/>
      <w:pPr>
        <w:ind w:left="1542" w:hanging="360"/>
      </w:pPr>
      <w:rPr/>
    </w:lvl>
    <w:lvl w:ilvl="2">
      <w:start w:val="1"/>
      <w:numFmt w:val="lowerRoman"/>
      <w:lvlText w:val="%3."/>
      <w:lvlJc w:val="right"/>
      <w:pPr>
        <w:ind w:left="2262" w:hanging="180"/>
      </w:pPr>
      <w:rPr/>
    </w:lvl>
    <w:lvl w:ilvl="3">
      <w:start w:val="1"/>
      <w:numFmt w:val="decimal"/>
      <w:lvlText w:val="%4."/>
      <w:lvlJc w:val="left"/>
      <w:pPr>
        <w:ind w:left="2982" w:hanging="360"/>
      </w:pPr>
      <w:rPr/>
    </w:lvl>
    <w:lvl w:ilvl="4">
      <w:start w:val="1"/>
      <w:numFmt w:val="lowerLetter"/>
      <w:lvlText w:val="%5."/>
      <w:lvlJc w:val="left"/>
      <w:pPr>
        <w:ind w:left="3702" w:hanging="360"/>
      </w:pPr>
      <w:rPr/>
    </w:lvl>
    <w:lvl w:ilvl="5">
      <w:start w:val="1"/>
      <w:numFmt w:val="lowerRoman"/>
      <w:lvlText w:val="%6."/>
      <w:lvlJc w:val="right"/>
      <w:pPr>
        <w:ind w:left="4422" w:hanging="180"/>
      </w:pPr>
      <w:rPr/>
    </w:lvl>
    <w:lvl w:ilvl="6">
      <w:start w:val="1"/>
      <w:numFmt w:val="decimal"/>
      <w:lvlText w:val="%7."/>
      <w:lvlJc w:val="left"/>
      <w:pPr>
        <w:ind w:left="5142" w:hanging="360"/>
      </w:pPr>
      <w:rPr/>
    </w:lvl>
    <w:lvl w:ilvl="7">
      <w:start w:val="1"/>
      <w:numFmt w:val="lowerLetter"/>
      <w:lvlText w:val="%8."/>
      <w:lvlJc w:val="left"/>
      <w:pPr>
        <w:ind w:left="5862" w:hanging="360"/>
      </w:pPr>
      <w:rPr/>
    </w:lvl>
    <w:lvl w:ilvl="8">
      <w:start w:val="1"/>
      <w:numFmt w:val="lowerRoman"/>
      <w:lvlText w:val="%9."/>
      <w:lvlJc w:val="right"/>
      <w:pPr>
        <w:ind w:left="6582"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o-RO"/>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75" w:lineRule="auto"/>
      <w:ind w:left="462"/>
    </w:pPr>
    <w:rPr>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42" w:lineRule="auto"/>
      <w:ind w:left="3226" w:right="3088"/>
      <w:jc w:val="center"/>
    </w:pPr>
    <w:rPr>
      <w:rFonts w:ascii="Calibri" w:cs="Calibri" w:eastAsia="Calibri" w:hAnsi="Calibri"/>
      <w:b w:val="1"/>
      <w:bCs w:val="1"/>
      <w:sz w:val="28"/>
      <w:szCs w:val="28"/>
    </w:rPr>
  </w:style>
  <w:style w:type="paragraph" w:styleId="Normal" w:default="1">
    <w:name w:val="Normal"/>
    <w:qFormat w:val="1"/>
    <w:pPr>
      <w:widowControl w:val="0"/>
    </w:pPr>
    <w:rPr>
      <w:rFonts w:ascii="Times New Roman" w:cs="Times New Roman" w:eastAsia="Times New Roman" w:hAnsi="Times New Roman"/>
      <w:sz w:val="22"/>
      <w:lang w:val="ro-RO"/>
    </w:rPr>
  </w:style>
  <w:style w:type="paragraph" w:styleId="Heading1">
    <w:name w:val="heading 1"/>
    <w:basedOn w:val="Normal"/>
    <w:uiPriority w:val="9"/>
    <w:qFormat w:val="1"/>
    <w:pPr>
      <w:spacing w:line="275" w:lineRule="exact"/>
      <w:ind w:left="462"/>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InternetLink" w:customStyle="1">
    <w:name w:val="Internet Link"/>
    <w:rPr>
      <w:color w:val="000080"/>
      <w:u w:val="single"/>
    </w:rPr>
  </w:style>
  <w:style w:type="paragraph" w:styleId="Heading" w:customStyle="1">
    <w:name w:val="Heading"/>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uiPriority w:val="1"/>
    <w:qFormat w:val="1"/>
    <w:pPr>
      <w:ind w:left="462"/>
    </w:pPr>
  </w:style>
  <w:style w:type="paragraph" w:styleId="List">
    <w:name w:val="List"/>
    <w:basedOn w:val="BodyText"/>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customStyle="1">
    <w:name w:val="Index"/>
    <w:basedOn w:val="Normal"/>
    <w:qFormat w:val="1"/>
    <w:pPr>
      <w:suppressLineNumbers w:val="1"/>
    </w:pPr>
    <w:rPr>
      <w:rFonts w:cs="Arial"/>
    </w:rPr>
  </w:style>
  <w:style w:type="paragraph" w:styleId="Title">
    <w:name w:val="Title"/>
    <w:basedOn w:val="Normal"/>
    <w:uiPriority w:val="10"/>
    <w:qFormat w:val="1"/>
    <w:pPr>
      <w:spacing w:before="42"/>
      <w:ind w:left="3226" w:right="3088"/>
      <w:jc w:val="center"/>
    </w:pPr>
    <w:rPr>
      <w:rFonts w:ascii="Calibri" w:cs="Calibri" w:eastAsia="Calibri" w:hAnsi="Calibri"/>
      <w:b w:val="1"/>
      <w:bCs w:val="1"/>
      <w:sz w:val="28"/>
      <w:szCs w:val="28"/>
    </w:rPr>
  </w:style>
  <w:style w:type="paragraph" w:styleId="ListParagraph">
    <w:name w:val="List Paragraph"/>
    <w:basedOn w:val="Normal"/>
    <w:uiPriority w:val="1"/>
    <w:qFormat w:val="1"/>
    <w:pPr>
      <w:ind w:left="462" w:hanging="360"/>
      <w:jc w:val="both"/>
    </w:pPr>
  </w:style>
  <w:style w:type="paragraph" w:styleId="TableParagraph" w:customStyle="1">
    <w:name w:val="Table Paragraph"/>
    <w:basedOn w:val="Normal"/>
    <w:uiPriority w:val="1"/>
    <w:qFormat w:val="1"/>
    <w:pPr>
      <w:ind w:left="200"/>
    </w:pPr>
  </w:style>
  <w:style w:type="paragraph" w:styleId="Header">
    <w:name w:val="header"/>
    <w:basedOn w:val="Normal"/>
    <w:link w:val="HeaderChar"/>
    <w:uiPriority w:val="99"/>
    <w:unhideWhenUsed w:val="1"/>
    <w:rsid w:val="00E752D1"/>
    <w:pPr>
      <w:tabs>
        <w:tab w:val="center" w:pos="4513"/>
        <w:tab w:val="right" w:pos="9026"/>
      </w:tabs>
    </w:pPr>
  </w:style>
  <w:style w:type="character" w:styleId="HeaderChar" w:customStyle="1">
    <w:name w:val="Header Char"/>
    <w:basedOn w:val="DefaultParagraphFont"/>
    <w:link w:val="Header"/>
    <w:uiPriority w:val="99"/>
    <w:rsid w:val="00E752D1"/>
    <w:rPr>
      <w:rFonts w:ascii="Times New Roman" w:cs="Times New Roman" w:eastAsia="Times New Roman" w:hAnsi="Times New Roman"/>
      <w:sz w:val="22"/>
      <w:lang w:val="ro-RO"/>
    </w:rPr>
  </w:style>
  <w:style w:type="paragraph" w:styleId="Footer">
    <w:name w:val="footer"/>
    <w:basedOn w:val="Normal"/>
    <w:link w:val="FooterChar"/>
    <w:uiPriority w:val="99"/>
    <w:unhideWhenUsed w:val="1"/>
    <w:rsid w:val="00E752D1"/>
    <w:pPr>
      <w:tabs>
        <w:tab w:val="center" w:pos="4513"/>
        <w:tab w:val="right" w:pos="9026"/>
      </w:tabs>
    </w:pPr>
  </w:style>
  <w:style w:type="character" w:styleId="FooterChar" w:customStyle="1">
    <w:name w:val="Footer Char"/>
    <w:basedOn w:val="DefaultParagraphFont"/>
    <w:link w:val="Footer"/>
    <w:uiPriority w:val="99"/>
    <w:rsid w:val="00E752D1"/>
    <w:rPr>
      <w:rFonts w:ascii="Times New Roman" w:cs="Times New Roman" w:eastAsia="Times New Roman" w:hAnsi="Times New Roman"/>
      <w:sz w:val="22"/>
      <w:lang w:val="ro-R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office@kilostopjunior.ro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office@kilostopjunior.r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qvHBhTBfy/r+NcQ2oFs27SBO+w==">CgMxLjAaDQoBMBIICgYIBTICCAE4AHIhMU1ucFNvaFhvQnUwY2tBYmYtQlh6RmFielQ1U0cyQnZK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2023-07-17T14:36:00Z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2022-06-28T00:00:00Z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2023-07-17T00:00:00Z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